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CAF logra emisión de bonos récord por EUR 1.250 millones para apoyar la reactivación de América Latina</w:t>
      </w:r>
    </w:p>
    <w:p w:rsidR="00000000" w:rsidDel="00000000" w:rsidP="00000000" w:rsidRDefault="00000000" w:rsidRPr="00000000" w14:paraId="00000002">
      <w:pPr>
        <w:shd w:fill="ffffff" w:val="clear"/>
        <w:spacing w:after="280" w:line="240" w:lineRule="auto"/>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La confianza en la solidez financiera y la acción integral por el bienestar de la población y el desarrollo sostenible, se vio reflejada en una demanda cercana a los EUR 2.000 millones que permitió aumentar el tamaño y reducir la tasa de interés, en beneficio de la región.</w:t>
      </w:r>
      <w:r w:rsidDel="00000000" w:rsidR="00000000" w:rsidRPr="00000000">
        <w:rPr>
          <w:rtl w:val="0"/>
        </w:rPr>
      </w:r>
    </w:p>
    <w:p w:rsidR="00000000" w:rsidDel="00000000" w:rsidP="00000000" w:rsidRDefault="00000000" w:rsidRPr="00000000" w14:paraId="00000003">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i w:val="1"/>
          <w:color w:val="7f7f7f"/>
          <w:sz w:val="24"/>
          <w:szCs w:val="24"/>
          <w:rtl w:val="0"/>
        </w:rPr>
        <w:t xml:space="preserve">(Ciudad de México, 29 de enero de 2021).- </w:t>
      </w:r>
      <w:r w:rsidDel="00000000" w:rsidR="00000000" w:rsidRPr="00000000">
        <w:rPr>
          <w:rFonts w:ascii="Arial Narrow" w:cs="Arial Narrow" w:eastAsia="Arial Narrow" w:hAnsi="Arial Narrow"/>
          <w:color w:val="222222"/>
          <w:rtl w:val="0"/>
        </w:rPr>
        <w:t xml:space="preserve">CAF –banco de desarrollo de América Latina- comenzó el año con la transacción en euros más grande y con el cupón más bajo en los mercados de capitales en sus 50 años, con una emisión de bonos por un monto total de EUR 1.250 millones a un plazo de 5 años y un cupón de 0.25%. La demanda de más de 140 inversionistas por cerca de EUR 2.000 millones permitió aumentar el monto y reducir la tasa de interés para proveer un financiamiento más eficiente a los países accionistas.</w:t>
      </w:r>
    </w:p>
    <w:p w:rsidR="00000000" w:rsidDel="00000000" w:rsidP="00000000" w:rsidRDefault="00000000" w:rsidRPr="00000000" w14:paraId="00000004">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5">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“La solidez financiera y el compromiso por promover el bienestar de la población y el desarrollo sostenible han sido reconocidos por los inversionistas que han confiado en nuestro rol como catalizador para apoyar la reactivación de América Latina. Lograr el mayor monto y el menor cupón en euros en un contexto tan desafiante para la región, nos da un margen de acción más competitivo para seguir siendo un aliado incondicional cuando más se necesita”, aseguró Luis Carranza Ugarte, presidente ejecutivo de CAF.</w:t>
      </w:r>
    </w:p>
    <w:p w:rsidR="00000000" w:rsidDel="00000000" w:rsidP="00000000" w:rsidRDefault="00000000" w:rsidRPr="00000000" w14:paraId="00000006">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7">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Esta emisión en el mercado londinense tuvo más de 140 inversionistas principalmente de administradores de fondos, bancos comerciales, aseguradoras y bancos centrales. Los bancos colocadores fueron Barclays, BBVA, Goldman Sachs y J.P. Morgan.</w:t>
      </w:r>
    </w:p>
    <w:p w:rsidR="00000000" w:rsidDel="00000000" w:rsidP="00000000" w:rsidRDefault="00000000" w:rsidRPr="00000000" w14:paraId="00000008">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9">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CAF apoya a la región de manera ágil y oportuna mediante una serie de instrumentos financieros y técnicos que complementan las medidas que están aplicando los gobiernos. La multilateral cerró 2020 con un récord de aprobaciones por más de USD 14.100 millones, entre ellas una línea de crédito regional de emergencia de USD 4.100 millones para reforzar las medidas económicas anticíclicas para enfrentar la pandemia. Las pequeñas y medianas empresas, y el sector privado en general, también se beneficiaron de la liquidez que se irrigó a los bancos de desarrollo locales y a los bancos comerciales para promover la recuperación económica de América Latina, entre otras facilidades.</w:t>
      </w:r>
    </w:p>
    <w:p w:rsidR="00000000" w:rsidDel="00000000" w:rsidP="00000000" w:rsidRDefault="00000000" w:rsidRPr="00000000" w14:paraId="0000000A">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B">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Banco de Desarrollo de América Latina lleva a cabo desde hace tres décadas una estrategia de diversificación de sus fuentes de financiamiento, a través de una presencia ininterrumpida en los mercados globales de capital, que lo han ubicado en una posición privilegiada internacionalmente. La multilateral promueve el desarrollo sostenible y la integración regional, mediante una eficiente movilización de recursos para la prestación oportuna de servicios financieros múltiples, de alto valor agregado, a clientes de los sectores públicos y privado de los países accionistas.</w:t>
      </w:r>
    </w:p>
    <w:p w:rsidR="00000000" w:rsidDel="00000000" w:rsidP="00000000" w:rsidRDefault="00000000" w:rsidRPr="00000000" w14:paraId="0000000C">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D">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w:t>
      </w:r>
    </w:p>
    <w:p w:rsidR="00000000" w:rsidDel="00000000" w:rsidP="00000000" w:rsidRDefault="00000000" w:rsidRPr="00000000" w14:paraId="0000000E">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F">
      <w:pPr>
        <w:shd w:fill="ffffff" w:val="clear"/>
        <w:spacing w:line="240" w:lineRule="auto"/>
        <w:jc w:val="center"/>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w:t>
      </w:r>
    </w:p>
    <w:p w:rsidR="00000000" w:rsidDel="00000000" w:rsidP="00000000" w:rsidRDefault="00000000" w:rsidRPr="00000000" w14:paraId="00000010">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1">
      <w:pPr>
        <w:shd w:fill="ffffff" w:val="clear"/>
        <w:spacing w:after="160" w:line="225.4909090909091" w:lineRule="auto"/>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p>
    <w:p w:rsidR="00000000" w:rsidDel="00000000" w:rsidP="00000000" w:rsidRDefault="00000000" w:rsidRPr="00000000" w14:paraId="00000012">
      <w:pPr>
        <w:shd w:fill="ffffff" w:val="clear"/>
        <w:spacing w:after="160" w:line="225.4909090909091" w:lineRule="auto"/>
        <w:jc w:val="both"/>
        <w:rPr>
          <w:rFonts w:ascii="Arial Narrow" w:cs="Arial Narrow" w:eastAsia="Arial Narrow" w:hAnsi="Arial Narrow"/>
          <w:color w:val="1155cc"/>
          <w:sz w:val="16"/>
          <w:szCs w:val="16"/>
        </w:rPr>
      </w:pPr>
      <w:r w:rsidDel="00000000" w:rsidR="00000000" w:rsidRPr="00000000">
        <w:rPr>
          <w:rFonts w:ascii="Arial Narrow" w:cs="Arial Narrow" w:eastAsia="Arial Narrow" w:hAnsi="Arial Narrow"/>
          <w:sz w:val="16"/>
          <w:szCs w:val="16"/>
          <w:rtl w:val="0"/>
        </w:rPr>
        <w:t xml:space="preserve">CAF, Dirección de Comunicación Estratégica, </w:t>
      </w:r>
      <w:r w:rsidDel="00000000" w:rsidR="00000000" w:rsidRPr="00000000">
        <w:rPr>
          <w:rFonts w:ascii="Arial Narrow" w:cs="Arial Narrow" w:eastAsia="Arial Narrow" w:hAnsi="Arial Narrow"/>
          <w:color w:val="1155cc"/>
          <w:sz w:val="16"/>
          <w:szCs w:val="16"/>
          <w:rtl w:val="0"/>
        </w:rPr>
        <w:t xml:space="preserve">prensa@caf.com</w:t>
      </w:r>
    </w:p>
    <w:p w:rsidR="00000000" w:rsidDel="00000000" w:rsidP="00000000" w:rsidRDefault="00000000" w:rsidRPr="00000000" w14:paraId="00000013">
      <w:pPr>
        <w:shd w:fill="ffffff" w:val="clear"/>
        <w:spacing w:after="160" w:line="225.4909090909091"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sz w:val="16"/>
          <w:szCs w:val="16"/>
          <w:rtl w:val="0"/>
        </w:rPr>
        <w:t xml:space="preserve">Encuéntrenos en: Facebook: </w:t>
      </w:r>
      <w:hyperlink r:id="rId7">
        <w:r w:rsidDel="00000000" w:rsidR="00000000" w:rsidRPr="00000000">
          <w:rPr>
            <w:rFonts w:ascii="Arial Narrow" w:cs="Arial Narrow" w:eastAsia="Arial Narrow" w:hAnsi="Arial Narrow"/>
            <w:color w:val="1155cc"/>
            <w:sz w:val="16"/>
            <w:szCs w:val="16"/>
            <w:u w:val="single"/>
            <w:rtl w:val="0"/>
          </w:rPr>
          <w:t xml:space="preserve">CAF.America.Latina</w:t>
        </w:r>
      </w:hyperlink>
      <w:r w:rsidDel="00000000" w:rsidR="00000000" w:rsidRPr="00000000">
        <w:rPr>
          <w:rFonts w:ascii="Arial Narrow" w:cs="Arial Narrow" w:eastAsia="Arial Narrow" w:hAnsi="Arial Narrow"/>
          <w:sz w:val="16"/>
          <w:szCs w:val="16"/>
          <w:rtl w:val="0"/>
        </w:rPr>
        <w:t xml:space="preserve"> / Twitter: </w:t>
      </w:r>
      <w:hyperlink r:id="rId8">
        <w:r w:rsidDel="00000000" w:rsidR="00000000" w:rsidRPr="00000000">
          <w:rPr>
            <w:rFonts w:ascii="Arial Narrow" w:cs="Arial Narrow" w:eastAsia="Arial Narrow" w:hAnsi="Arial Narrow"/>
            <w:color w:val="1155cc"/>
            <w:sz w:val="16"/>
            <w:szCs w:val="16"/>
            <w:u w:val="single"/>
            <w:rtl w:val="0"/>
          </w:rPr>
          <w:t xml:space="preserve">@AgendaCAF</w:t>
        </w:r>
      </w:hyperlink>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1646400</wp:posOffset>
          </wp:positionH>
          <wp:positionV relativeFrom="paragraph">
            <wp:posOffset>-342899</wp:posOffset>
          </wp:positionV>
          <wp:extent cx="2438083" cy="72135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38083" cy="7213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hyperlink" Target="https://www.facebook.com/CAF.America.Latina" TargetMode="External"/><Relationship Id="rId8" Type="http://schemas.openxmlformats.org/officeDocument/2006/relationships/hyperlink" Target="https://twitter.com/AgendaCA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